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3554FD66"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46B67">
        <w:rPr>
          <w:rFonts w:cs="Arial"/>
          <w:bCs/>
          <w:noProof w:val="0"/>
          <w:sz w:val="24"/>
          <w:lang w:val="en-GB" w:eastAsia="ja-JP"/>
        </w:rPr>
        <w:t>01631</w:t>
      </w:r>
    </w:p>
    <w:p w14:paraId="7353AD93" w14:textId="1BD08ED4" w:rsidR="00B945C1" w:rsidRPr="0004564C" w:rsidRDefault="009102BB" w:rsidP="007B1761">
      <w:pPr>
        <w:pStyle w:val="Header"/>
        <w:tabs>
          <w:tab w:val="right" w:pos="9639"/>
        </w:tabs>
        <w:spacing w:after="120"/>
        <w:rPr>
          <w:rFonts w:eastAsia="PMingLiU" w:cs="Arial"/>
          <w:sz w:val="24"/>
          <w:lang w:eastAsia="zh-TW"/>
        </w:rPr>
      </w:pPr>
      <w:r>
        <w:rPr>
          <w:rFonts w:eastAsia="PMingLiU" w:cs="Arial"/>
          <w:sz w:val="24"/>
          <w:lang w:val="en-GB" w:eastAsia="zh-TW"/>
        </w:rPr>
        <w:t>Athens</w:t>
      </w:r>
      <w:r w:rsidR="007538E3">
        <w:rPr>
          <w:rFonts w:eastAsia="PMingLiU" w:cs="Arial"/>
          <w:sz w:val="24"/>
          <w:lang w:val="en-GB" w:eastAsia="zh-TW"/>
        </w:rPr>
        <w:t xml:space="preserve">, </w:t>
      </w:r>
      <w:r>
        <w:rPr>
          <w:rFonts w:eastAsia="PMingLiU" w:cs="Arial"/>
          <w:sz w:val="24"/>
          <w:lang w:val="en-GB" w:eastAsia="zh-TW"/>
        </w:rPr>
        <w:t>Greece</w:t>
      </w:r>
      <w:r w:rsidR="007538E3">
        <w:rPr>
          <w:rFonts w:eastAsia="PMingLiU" w:cs="Arial"/>
          <w:sz w:val="24"/>
          <w:lang w:val="en-GB" w:eastAsia="zh-TW"/>
        </w:rPr>
        <w:t xml:space="preserve">, </w:t>
      </w:r>
      <w:r>
        <w:rPr>
          <w:rFonts w:eastAsia="PMingLiU" w:cs="Arial"/>
          <w:sz w:val="24"/>
          <w:lang w:val="en-GB" w:eastAsia="zh-TW"/>
        </w:rPr>
        <w:t>27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February</w:t>
      </w:r>
      <w:r w:rsidR="00574753">
        <w:rPr>
          <w:rFonts w:eastAsia="PMingLiU" w:cs="Arial"/>
          <w:sz w:val="24"/>
          <w:lang w:val="en-GB" w:eastAsia="zh-TW"/>
        </w:rPr>
        <w:t xml:space="preserve"> – </w:t>
      </w:r>
      <w:r>
        <w:rPr>
          <w:rFonts w:eastAsia="PMingLiU" w:cs="Arial"/>
          <w:sz w:val="24"/>
          <w:lang w:val="en-GB" w:eastAsia="zh-TW"/>
        </w:rPr>
        <w:t>3</w:t>
      </w:r>
      <w:r w:rsidRPr="009102BB">
        <w:rPr>
          <w:rFonts w:eastAsia="PMingLiU" w:cs="Arial"/>
          <w:sz w:val="24"/>
          <w:vertAlign w:val="superscript"/>
          <w:lang w:val="en-GB" w:eastAsia="zh-TW"/>
        </w:rPr>
        <w:t>rd</w:t>
      </w:r>
      <w:r>
        <w:rPr>
          <w:rFonts w:eastAsia="PMingLiU" w:cs="Arial"/>
          <w:sz w:val="24"/>
          <w:lang w:val="en-GB" w:eastAsia="zh-TW"/>
        </w:rPr>
        <w:t xml:space="preserve"> March</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2D9F2FE1"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F476DF">
        <w:rPr>
          <w:rFonts w:cs="Arial"/>
          <w:b/>
          <w:bCs/>
          <w:sz w:val="24"/>
        </w:rPr>
        <w:t>4</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2F33B7D0"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476DF">
        <w:rPr>
          <w:rFonts w:ascii="Arial" w:hAnsi="Arial" w:cs="Arial"/>
          <w:b/>
          <w:bCs/>
          <w:szCs w:val="24"/>
        </w:rPr>
        <w:t>PRS</w:t>
      </w:r>
      <w:r w:rsidR="007D02CA">
        <w:rPr>
          <w:rFonts w:ascii="Arial" w:hAnsi="Arial" w:cs="Arial"/>
          <w:b/>
          <w:bCs/>
          <w:szCs w:val="24"/>
        </w:rPr>
        <w:t>/SRS aggregation for positioning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6EC3A27F" w14:textId="77777777" w:rsidR="0029392A" w:rsidRDefault="0029392A" w:rsidP="0083646C">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During Rel-18 study item phase, the PRS/SRS aggregation under intra band CA framework was studied in RAN4. The observations by RAN4 were later captured into the TR. </w:t>
      </w:r>
    </w:p>
    <w:p w14:paraId="79550A0B" w14:textId="4E6F2F8C" w:rsidR="0029392A" w:rsidRDefault="0029392A" w:rsidP="0083646C">
      <w:pPr>
        <w:jc w:val="both"/>
        <w:rPr>
          <w:sz w:val="22"/>
          <w:lang w:val="en-GB"/>
        </w:rPr>
      </w:pPr>
    </w:p>
    <w:p w14:paraId="1A7FE8E6" w14:textId="02889451" w:rsidR="0029392A" w:rsidRDefault="0029392A" w:rsidP="0083646C">
      <w:pPr>
        <w:jc w:val="both"/>
        <w:rPr>
          <w:sz w:val="22"/>
          <w:lang w:val="en-GB"/>
        </w:rPr>
      </w:pPr>
      <w:r>
        <w:rPr>
          <w:sz w:val="22"/>
          <w:lang w:val="en-GB"/>
        </w:rPr>
        <w:t>Several critical points are listed below,</w:t>
      </w:r>
    </w:p>
    <w:p w14:paraId="6FDDB61B" w14:textId="12952339" w:rsidR="00956290" w:rsidRDefault="00956290" w:rsidP="002E204B">
      <w:pPr>
        <w:pStyle w:val="ListParagraph"/>
        <w:numPr>
          <w:ilvl w:val="0"/>
          <w:numId w:val="20"/>
        </w:numPr>
        <w:jc w:val="both"/>
        <w:rPr>
          <w:sz w:val="22"/>
          <w:lang w:val="en-GB"/>
        </w:rPr>
      </w:pPr>
      <w:r>
        <w:rPr>
          <w:sz w:val="22"/>
          <w:lang w:val="en-GB"/>
        </w:rPr>
        <w:t>Single RF chain architecture is assumed</w:t>
      </w:r>
    </w:p>
    <w:p w14:paraId="4CAEA218" w14:textId="0C6E8A06" w:rsidR="0029392A" w:rsidRPr="0029392A" w:rsidRDefault="0029392A" w:rsidP="002E204B">
      <w:pPr>
        <w:pStyle w:val="ListParagraph"/>
        <w:numPr>
          <w:ilvl w:val="0"/>
          <w:numId w:val="20"/>
        </w:numPr>
        <w:jc w:val="both"/>
        <w:rPr>
          <w:sz w:val="22"/>
          <w:lang w:val="en-GB"/>
        </w:rPr>
      </w:pPr>
      <w:r w:rsidRPr="0029392A">
        <w:rPr>
          <w:sz w:val="22"/>
          <w:lang w:val="en-GB"/>
        </w:rPr>
        <w:t>A common numerology is applied across the aggregated PFLs</w:t>
      </w:r>
      <w:r w:rsidR="00956290">
        <w:rPr>
          <w:sz w:val="22"/>
          <w:lang w:val="en-GB"/>
        </w:rPr>
        <w:t xml:space="preserve"> for downlink</w:t>
      </w:r>
      <w:r w:rsidR="00C36375">
        <w:rPr>
          <w:sz w:val="22"/>
          <w:lang w:val="en-GB"/>
        </w:rPr>
        <w:t>, and it is also applied across carriers for uplink</w:t>
      </w:r>
    </w:p>
    <w:p w14:paraId="3FD51D8C" w14:textId="453F6580" w:rsidR="0029392A" w:rsidRDefault="0029392A" w:rsidP="0029392A">
      <w:pPr>
        <w:pStyle w:val="ListParagraph"/>
        <w:numPr>
          <w:ilvl w:val="0"/>
          <w:numId w:val="20"/>
        </w:numPr>
        <w:jc w:val="both"/>
        <w:rPr>
          <w:sz w:val="22"/>
          <w:lang w:val="en-GB"/>
        </w:rPr>
      </w:pPr>
      <w:r>
        <w:rPr>
          <w:sz w:val="22"/>
          <w:lang w:val="en-GB"/>
        </w:rPr>
        <w:t xml:space="preserve">PRS </w:t>
      </w:r>
      <w:r w:rsidR="00956290">
        <w:rPr>
          <w:sz w:val="22"/>
          <w:lang w:val="en-GB"/>
        </w:rPr>
        <w:t>r</w:t>
      </w:r>
      <w:r>
        <w:rPr>
          <w:sz w:val="22"/>
          <w:lang w:val="en-GB"/>
        </w:rPr>
        <w:t>esources from different PFLs</w:t>
      </w:r>
      <w:r w:rsidR="00956290">
        <w:rPr>
          <w:sz w:val="22"/>
          <w:lang w:val="en-GB"/>
        </w:rPr>
        <w:t xml:space="preserve"> </w:t>
      </w:r>
      <w:r>
        <w:rPr>
          <w:sz w:val="22"/>
          <w:lang w:val="en-GB"/>
        </w:rPr>
        <w:t>are transmitted</w:t>
      </w:r>
      <w:r w:rsidR="00956290">
        <w:rPr>
          <w:sz w:val="22"/>
          <w:lang w:val="en-GB"/>
        </w:rPr>
        <w:t xml:space="preserve"> in same symbol of a same slot</w:t>
      </w:r>
      <w:r w:rsidR="00C36375">
        <w:rPr>
          <w:sz w:val="22"/>
          <w:lang w:val="en-GB"/>
        </w:rPr>
        <w:t>. The rule also applies for SRS resources from different carriers</w:t>
      </w:r>
    </w:p>
    <w:p w14:paraId="5242B877" w14:textId="3C9A8EF4" w:rsidR="00C36375" w:rsidRPr="0029392A" w:rsidRDefault="00C36375" w:rsidP="0029392A">
      <w:pPr>
        <w:pStyle w:val="ListParagraph"/>
        <w:numPr>
          <w:ilvl w:val="0"/>
          <w:numId w:val="20"/>
        </w:numPr>
        <w:jc w:val="both"/>
        <w:rPr>
          <w:sz w:val="22"/>
          <w:lang w:val="en-GB"/>
        </w:rPr>
      </w:pPr>
      <w:r>
        <w:rPr>
          <w:sz w:val="22"/>
          <w:lang w:val="en-GB"/>
        </w:rPr>
        <w:t>Subject to UE capability, both PRS and SRS aggregation may be supported for RRC connected state and RRC inactive state</w:t>
      </w:r>
    </w:p>
    <w:p w14:paraId="082F540D" w14:textId="56D9BD25" w:rsidR="00121D1B" w:rsidRDefault="00121D1B" w:rsidP="006B7FBE">
      <w:pPr>
        <w:jc w:val="both"/>
        <w:rPr>
          <w:sz w:val="22"/>
          <w:lang w:val="en-GB"/>
        </w:rPr>
      </w:pPr>
    </w:p>
    <w:p w14:paraId="3E70740F" w14:textId="7A82B106" w:rsidR="00121D1B" w:rsidRDefault="00AF1767" w:rsidP="006B7FBE">
      <w:pPr>
        <w:jc w:val="both"/>
        <w:rPr>
          <w:sz w:val="22"/>
          <w:lang w:val="en-GB"/>
        </w:rPr>
      </w:pPr>
      <w:r>
        <w:rPr>
          <w:sz w:val="22"/>
          <w:lang w:val="en-GB"/>
        </w:rPr>
        <w:t>In this contribution, the DL-PRS aggregation and SRS aggregation are analyzed</w:t>
      </w:r>
      <w:r w:rsidR="003B698C">
        <w:rPr>
          <w:sz w:val="22"/>
          <w:lang w:val="en-GB"/>
        </w:rPr>
        <w:t xml:space="preserve"> under the intra band contiguous CA framework.</w:t>
      </w:r>
    </w:p>
    <w:p w14:paraId="42873098" w14:textId="77777777" w:rsidR="00121D1B" w:rsidRDefault="00121D1B" w:rsidP="006B7FBE">
      <w:pPr>
        <w:jc w:val="both"/>
        <w:rPr>
          <w:sz w:val="22"/>
          <w:lang w:val="en-GB"/>
        </w:rPr>
      </w:pPr>
    </w:p>
    <w:bookmarkEnd w:id="3"/>
    <w:bookmarkEnd w:id="4"/>
    <w:bookmarkEnd w:id="5"/>
    <w:bookmarkEnd w:id="6"/>
    <w:bookmarkEnd w:id="7"/>
    <w:bookmarkEnd w:id="8"/>
    <w:bookmarkEnd w:id="9"/>
    <w:p w14:paraId="6810B6A6" w14:textId="643BE94D" w:rsidR="00023E9A" w:rsidRDefault="00023E9A" w:rsidP="003A3538">
      <w:pPr>
        <w:jc w:val="both"/>
        <w:rPr>
          <w:sz w:val="22"/>
        </w:rPr>
      </w:pPr>
    </w:p>
    <w:p w14:paraId="08B888B2" w14:textId="77777777" w:rsidR="003A3538" w:rsidRPr="00A46019" w:rsidRDefault="003A3538" w:rsidP="003A3538">
      <w:pPr>
        <w:jc w:val="both"/>
        <w:rPr>
          <w:sz w:val="22"/>
        </w:rPr>
      </w:pPr>
    </w:p>
    <w:p w14:paraId="2A60B81B" w14:textId="25729AE0" w:rsidR="003A3538" w:rsidRDefault="00C36375"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SRS aggregation across carriers</w:t>
      </w:r>
    </w:p>
    <w:p w14:paraId="76966FFA" w14:textId="4BEDF9DD" w:rsidR="00EA0AA2" w:rsidRDefault="008647C8" w:rsidP="00984B38">
      <w:pPr>
        <w:jc w:val="both"/>
        <w:rPr>
          <w:rFonts w:cstheme="minorHAnsi"/>
          <w:sz w:val="22"/>
        </w:rPr>
      </w:pPr>
      <w:r>
        <w:rPr>
          <w:rFonts w:cstheme="minorHAnsi"/>
          <w:sz w:val="22"/>
        </w:rPr>
        <w:t>In a CC, SRS is transmitted within UL active BWP in connected state, and SRS could be transmitted within UL initial BWP or outside UL initial BWP depending on UE capability.</w:t>
      </w:r>
      <w:r w:rsidR="004540F0" w:rsidRPr="00970DB2">
        <w:rPr>
          <w:rFonts w:cstheme="minorHAnsi"/>
          <w:sz w:val="22"/>
        </w:rPr>
        <w:t xml:space="preserve"> </w:t>
      </w:r>
    </w:p>
    <w:p w14:paraId="039776CB" w14:textId="64B5059D" w:rsidR="00996397" w:rsidRDefault="00996397" w:rsidP="00984B38">
      <w:pPr>
        <w:jc w:val="both"/>
        <w:rPr>
          <w:rFonts w:cstheme="minorHAnsi"/>
          <w:sz w:val="22"/>
        </w:rPr>
      </w:pPr>
    </w:p>
    <w:p w14:paraId="0FA536E6" w14:textId="36D016C7" w:rsidR="00996397" w:rsidRDefault="00996397" w:rsidP="00984B38">
      <w:pPr>
        <w:jc w:val="both"/>
        <w:rPr>
          <w:rFonts w:cstheme="minorHAnsi"/>
          <w:sz w:val="22"/>
        </w:rPr>
      </w:pPr>
      <w:r>
        <w:rPr>
          <w:rFonts w:cstheme="minorHAnsi"/>
          <w:sz w:val="22"/>
        </w:rPr>
        <w:t xml:space="preserve">Fig. </w:t>
      </w:r>
      <w:r w:rsidR="007911CF">
        <w:rPr>
          <w:rFonts w:cstheme="minorHAnsi"/>
          <w:sz w:val="22"/>
        </w:rPr>
        <w:t>2</w:t>
      </w:r>
      <w:r>
        <w:rPr>
          <w:rFonts w:cstheme="minorHAnsi"/>
          <w:sz w:val="22"/>
        </w:rPr>
        <w:t>-1 shows that there is a guard band between two CCs for intra band contiguous CA. The guard band width is up to the deployment. When a receiver applies a single IFFT for CIR observation in time domain, some zeros may be stuffed which are corresponding to the subcarriers in the guard band.</w:t>
      </w:r>
    </w:p>
    <w:p w14:paraId="3F28D376" w14:textId="1C452B83" w:rsidR="00612DA2" w:rsidRDefault="00612DA2" w:rsidP="00984B38">
      <w:pPr>
        <w:jc w:val="both"/>
        <w:rPr>
          <w:rFonts w:cstheme="minorHAnsi"/>
          <w:sz w:val="22"/>
        </w:rPr>
      </w:pPr>
    </w:p>
    <w:p w14:paraId="24A30BAC" w14:textId="1BB40743" w:rsidR="00612DA2" w:rsidRDefault="00612DA2" w:rsidP="00984B38">
      <w:pPr>
        <w:jc w:val="both"/>
        <w:rPr>
          <w:rFonts w:cstheme="minorHAnsi"/>
          <w:sz w:val="22"/>
        </w:rPr>
      </w:pPr>
      <w:r>
        <w:rPr>
          <w:rFonts w:cstheme="minorHAnsi"/>
          <w:sz w:val="22"/>
        </w:rPr>
        <w:t>If SRS is transmitted within UL BWP for both connected state and inactive state, it is equivalent to expand the guard band</w:t>
      </w:r>
      <w:r w:rsidR="00984B38">
        <w:rPr>
          <w:rFonts w:cstheme="minorHAnsi"/>
          <w:sz w:val="22"/>
        </w:rPr>
        <w:t xml:space="preserve"> to be larger, since the BWP boundary may not always reach the boundary of a carrier, as shown in Fig. </w:t>
      </w:r>
      <w:r w:rsidR="007911CF">
        <w:rPr>
          <w:rFonts w:cstheme="minorHAnsi"/>
          <w:sz w:val="22"/>
        </w:rPr>
        <w:t>2</w:t>
      </w:r>
      <w:r w:rsidR="00984B38">
        <w:rPr>
          <w:rFonts w:cstheme="minorHAnsi"/>
          <w:sz w:val="22"/>
        </w:rPr>
        <w:t>-1. This also means, when a larger size of IFFT is applied, there is a certain number of elements to be zero</w:t>
      </w:r>
      <w:r w:rsidR="00FC552A">
        <w:rPr>
          <w:rFonts w:cstheme="minorHAnsi"/>
          <w:sz w:val="22"/>
        </w:rPr>
        <w:t xml:space="preserve"> within the data vector before </w:t>
      </w:r>
      <w:r w:rsidR="009069CE">
        <w:rPr>
          <w:rFonts w:cstheme="minorHAnsi"/>
          <w:sz w:val="22"/>
        </w:rPr>
        <w:t>transformation to time domain</w:t>
      </w:r>
      <w:r w:rsidR="00984B38">
        <w:rPr>
          <w:rFonts w:cstheme="minorHAnsi"/>
          <w:sz w:val="22"/>
        </w:rPr>
        <w:t>.</w:t>
      </w:r>
    </w:p>
    <w:p w14:paraId="2B82AA65" w14:textId="4ECFB1DE" w:rsidR="00984B38" w:rsidRDefault="00984B38" w:rsidP="00984B38">
      <w:pPr>
        <w:jc w:val="both"/>
        <w:rPr>
          <w:rFonts w:cstheme="minorHAnsi"/>
          <w:sz w:val="22"/>
        </w:rPr>
      </w:pPr>
    </w:p>
    <w:p w14:paraId="10E76EF0" w14:textId="5F1E0783" w:rsidR="00984B38" w:rsidRDefault="00984B38" w:rsidP="00984B38">
      <w:pPr>
        <w:jc w:val="both"/>
        <w:rPr>
          <w:rFonts w:cstheme="minorHAnsi"/>
          <w:sz w:val="22"/>
        </w:rPr>
      </w:pPr>
      <w:r>
        <w:rPr>
          <w:rFonts w:cstheme="minorHAnsi"/>
          <w:sz w:val="22"/>
        </w:rPr>
        <w:t>Whether a small size of IFFT could be applied by simply utilizing the raw channel frequency responses in two BWPs? It may cause the distortion of CIR</w:t>
      </w:r>
      <w:r w:rsidR="00FC552A">
        <w:rPr>
          <w:rFonts w:cstheme="minorHAnsi"/>
          <w:sz w:val="22"/>
        </w:rPr>
        <w:t xml:space="preserve"> during observation</w:t>
      </w:r>
      <w:r>
        <w:rPr>
          <w:rFonts w:cstheme="minorHAnsi"/>
          <w:sz w:val="22"/>
        </w:rPr>
        <w:t xml:space="preserve">, since the IFFT/FFT operation is to deal with equally spaced samples. </w:t>
      </w:r>
    </w:p>
    <w:p w14:paraId="0DE9BFE3" w14:textId="3CFA0258" w:rsidR="00EA0AA2" w:rsidRDefault="00EA0AA2" w:rsidP="00984B38">
      <w:pPr>
        <w:jc w:val="both"/>
        <w:rPr>
          <w:sz w:val="22"/>
          <w:lang w:val="en-GB"/>
        </w:rPr>
      </w:pPr>
    </w:p>
    <w:p w14:paraId="5E38C0A9" w14:textId="77C3BFC6" w:rsidR="00205449" w:rsidRDefault="00DE0EAB" w:rsidP="00984B38">
      <w:pPr>
        <w:jc w:val="both"/>
        <w:rPr>
          <w:sz w:val="22"/>
          <w:lang w:val="en-GB"/>
        </w:rPr>
      </w:pPr>
      <w:r>
        <w:rPr>
          <w:sz w:val="22"/>
          <w:lang w:val="en-GB"/>
        </w:rPr>
        <w:t>Then we propose that t</w:t>
      </w:r>
      <w:r w:rsidR="00205449">
        <w:rPr>
          <w:sz w:val="22"/>
          <w:lang w:val="en-GB"/>
        </w:rPr>
        <w:t>he SRS transmission outside BWP and across carriers could be supported subject to UE capability</w:t>
      </w:r>
      <w:r>
        <w:rPr>
          <w:sz w:val="22"/>
          <w:lang w:val="en-GB"/>
        </w:rPr>
        <w:t>.</w:t>
      </w:r>
    </w:p>
    <w:p w14:paraId="2BA115BA" w14:textId="40FB6039" w:rsidR="00DE0EAB" w:rsidRDefault="00DE0EAB" w:rsidP="00984B38">
      <w:pPr>
        <w:jc w:val="both"/>
        <w:rPr>
          <w:sz w:val="22"/>
          <w:lang w:val="en-GB"/>
        </w:rPr>
      </w:pPr>
    </w:p>
    <w:p w14:paraId="06A7497F" w14:textId="5176FC70" w:rsidR="00DE0EAB" w:rsidRDefault="00DE0EAB" w:rsidP="00984B38">
      <w:pPr>
        <w:jc w:val="both"/>
        <w:rPr>
          <w:sz w:val="22"/>
          <w:lang w:val="en-GB"/>
        </w:rPr>
      </w:pPr>
      <w:r>
        <w:rPr>
          <w:sz w:val="22"/>
          <w:lang w:val="en-GB"/>
        </w:rPr>
        <w:t>When the SRS transmission happens simultaneously across carriers, there are several issues to be considered,</w:t>
      </w:r>
    </w:p>
    <w:p w14:paraId="5CBF421D" w14:textId="10C22F49" w:rsidR="00DE0EAB" w:rsidRDefault="00DE0EAB" w:rsidP="00DE0EAB">
      <w:pPr>
        <w:pStyle w:val="ListParagraph"/>
        <w:numPr>
          <w:ilvl w:val="0"/>
          <w:numId w:val="21"/>
        </w:numPr>
        <w:jc w:val="both"/>
        <w:rPr>
          <w:sz w:val="22"/>
          <w:lang w:val="en-GB"/>
        </w:rPr>
      </w:pPr>
      <w:r>
        <w:rPr>
          <w:sz w:val="22"/>
          <w:lang w:val="en-GB"/>
        </w:rPr>
        <w:t xml:space="preserve">The </w:t>
      </w:r>
      <w:r w:rsidR="00BF0FB5">
        <w:rPr>
          <w:sz w:val="22"/>
          <w:lang w:val="en-GB"/>
        </w:rPr>
        <w:t xml:space="preserve">SRS </w:t>
      </w:r>
      <w:r>
        <w:rPr>
          <w:sz w:val="22"/>
          <w:lang w:val="en-GB"/>
        </w:rPr>
        <w:t>transmission power per subcarrier basis</w:t>
      </w:r>
    </w:p>
    <w:p w14:paraId="04772CCF" w14:textId="721CE2F7" w:rsidR="00DE0EAB" w:rsidRDefault="00DE0EAB" w:rsidP="00DE0EAB">
      <w:pPr>
        <w:pStyle w:val="ListParagraph"/>
        <w:numPr>
          <w:ilvl w:val="0"/>
          <w:numId w:val="21"/>
        </w:numPr>
        <w:jc w:val="both"/>
        <w:rPr>
          <w:sz w:val="22"/>
          <w:lang w:val="en-GB"/>
        </w:rPr>
      </w:pPr>
      <w:r>
        <w:rPr>
          <w:sz w:val="22"/>
          <w:lang w:val="en-GB"/>
        </w:rPr>
        <w:t xml:space="preserve">The </w:t>
      </w:r>
      <w:r w:rsidR="00BF0FB5">
        <w:rPr>
          <w:sz w:val="22"/>
          <w:lang w:val="en-GB"/>
        </w:rPr>
        <w:t xml:space="preserve">SRS </w:t>
      </w:r>
      <w:r>
        <w:rPr>
          <w:sz w:val="22"/>
          <w:lang w:val="en-GB"/>
        </w:rPr>
        <w:t>transmission direction in each carrier</w:t>
      </w:r>
    </w:p>
    <w:p w14:paraId="569DF921" w14:textId="672FEA1E" w:rsidR="00BF0FB5" w:rsidRDefault="00BF0FB5" w:rsidP="00DE0EAB">
      <w:pPr>
        <w:pStyle w:val="ListParagraph"/>
        <w:numPr>
          <w:ilvl w:val="0"/>
          <w:numId w:val="21"/>
        </w:numPr>
        <w:jc w:val="both"/>
        <w:rPr>
          <w:sz w:val="22"/>
          <w:lang w:val="en-GB"/>
        </w:rPr>
      </w:pPr>
      <w:r>
        <w:rPr>
          <w:sz w:val="22"/>
          <w:lang w:val="en-GB"/>
        </w:rPr>
        <w:t>The SRS time domain behaviour</w:t>
      </w:r>
    </w:p>
    <w:p w14:paraId="34356C59" w14:textId="77777777" w:rsidR="00BF0FB5" w:rsidRPr="00DE0EAB" w:rsidRDefault="00BF0FB5" w:rsidP="00487CA8">
      <w:pPr>
        <w:pStyle w:val="ListParagraph"/>
        <w:jc w:val="both"/>
        <w:rPr>
          <w:sz w:val="22"/>
          <w:lang w:val="en-GB"/>
        </w:rPr>
      </w:pPr>
    </w:p>
    <w:p w14:paraId="7E49DB34" w14:textId="4DC89D75" w:rsidR="00544B5B" w:rsidRDefault="00487CA8" w:rsidP="00984B38">
      <w:pPr>
        <w:jc w:val="both"/>
        <w:rPr>
          <w:sz w:val="22"/>
          <w:lang w:val="en-GB"/>
        </w:rPr>
      </w:pPr>
      <w:r>
        <w:rPr>
          <w:sz w:val="22"/>
          <w:lang w:val="en-GB"/>
        </w:rPr>
        <w:t>The SRS transmission power per subcarrier may need to be the same across carriers. If the downlink path loss RS is measured respective per CC, then the transmission power per subcarrier may not be the same since the path loss measurement may not be the same. When this happens, the CIR observed at gNB receiver may not truly reflect the reality.</w:t>
      </w:r>
      <w:r w:rsidR="003E57B4">
        <w:rPr>
          <w:sz w:val="22"/>
          <w:lang w:val="en-GB"/>
        </w:rPr>
        <w:t xml:space="preserve"> This means some parameters that are configured respectively for each CC may need to be aligned, and we can treat the SRS aggregation across carriers as the SRS transmission o</w:t>
      </w:r>
      <w:r w:rsidR="00880659">
        <w:rPr>
          <w:sz w:val="22"/>
          <w:lang w:val="en-GB"/>
        </w:rPr>
        <w:t>ver</w:t>
      </w:r>
      <w:r w:rsidR="003E57B4">
        <w:rPr>
          <w:sz w:val="22"/>
          <w:lang w:val="en-GB"/>
        </w:rPr>
        <w:t xml:space="preserve"> a larger virtual carrier. </w:t>
      </w:r>
    </w:p>
    <w:p w14:paraId="1B9CFA32" w14:textId="77777777" w:rsidR="00544B5B" w:rsidRDefault="00544B5B" w:rsidP="00984B38">
      <w:pPr>
        <w:jc w:val="both"/>
        <w:rPr>
          <w:sz w:val="22"/>
          <w:lang w:val="en-GB"/>
        </w:rPr>
      </w:pPr>
    </w:p>
    <w:p w14:paraId="712BF3F2" w14:textId="585144F8" w:rsidR="00544B5B" w:rsidRDefault="00544B5B" w:rsidP="00984B38">
      <w:pPr>
        <w:jc w:val="both"/>
        <w:rPr>
          <w:sz w:val="22"/>
          <w:lang w:val="en-GB"/>
        </w:rPr>
      </w:pPr>
      <w:r>
        <w:rPr>
          <w:sz w:val="22"/>
          <w:lang w:val="en-GB"/>
        </w:rPr>
        <w:t>Then we further consider that,</w:t>
      </w:r>
    </w:p>
    <w:p w14:paraId="40CFB490" w14:textId="35E4CFFC" w:rsidR="00544B5B" w:rsidRDefault="00544B5B" w:rsidP="00544B5B">
      <w:pPr>
        <w:pStyle w:val="ListParagraph"/>
        <w:numPr>
          <w:ilvl w:val="0"/>
          <w:numId w:val="22"/>
        </w:numPr>
        <w:jc w:val="both"/>
        <w:rPr>
          <w:sz w:val="22"/>
          <w:lang w:val="en-GB"/>
        </w:rPr>
      </w:pPr>
      <w:r>
        <w:rPr>
          <w:sz w:val="22"/>
          <w:lang w:val="en-GB"/>
        </w:rPr>
        <w:t xml:space="preserve">The transmission power per subcarrier is the same </w:t>
      </w:r>
      <w:r w:rsidR="00AB0B6D">
        <w:rPr>
          <w:sz w:val="22"/>
          <w:lang w:val="en-GB"/>
        </w:rPr>
        <w:t xml:space="preserve">for SRS </w:t>
      </w:r>
      <w:r>
        <w:rPr>
          <w:sz w:val="22"/>
          <w:lang w:val="en-GB"/>
        </w:rPr>
        <w:t>across CCs</w:t>
      </w:r>
    </w:p>
    <w:p w14:paraId="7C95E363" w14:textId="4B58840F" w:rsidR="00544B5B" w:rsidRDefault="00544B5B" w:rsidP="00544B5B">
      <w:pPr>
        <w:pStyle w:val="ListParagraph"/>
        <w:numPr>
          <w:ilvl w:val="0"/>
          <w:numId w:val="22"/>
        </w:numPr>
        <w:jc w:val="both"/>
        <w:rPr>
          <w:sz w:val="22"/>
          <w:lang w:val="en-GB"/>
        </w:rPr>
      </w:pPr>
      <w:r>
        <w:rPr>
          <w:sz w:val="22"/>
          <w:lang w:val="en-GB"/>
        </w:rPr>
        <w:t xml:space="preserve">The transmission direction is the same </w:t>
      </w:r>
      <w:r w:rsidR="00AB0B6D">
        <w:rPr>
          <w:sz w:val="22"/>
          <w:lang w:val="en-GB"/>
        </w:rPr>
        <w:t xml:space="preserve">for SRS </w:t>
      </w:r>
      <w:r>
        <w:rPr>
          <w:sz w:val="22"/>
          <w:lang w:val="en-GB"/>
        </w:rPr>
        <w:t>across CCs</w:t>
      </w:r>
    </w:p>
    <w:p w14:paraId="26FDEE48" w14:textId="4D4F26DE" w:rsidR="00544B5B" w:rsidRPr="00544B5B" w:rsidRDefault="00544B5B" w:rsidP="00544B5B">
      <w:pPr>
        <w:pStyle w:val="ListParagraph"/>
        <w:numPr>
          <w:ilvl w:val="0"/>
          <w:numId w:val="22"/>
        </w:numPr>
        <w:jc w:val="both"/>
        <w:rPr>
          <w:sz w:val="22"/>
          <w:lang w:val="en-GB"/>
        </w:rPr>
      </w:pPr>
      <w:r>
        <w:rPr>
          <w:sz w:val="22"/>
          <w:lang w:val="en-GB"/>
        </w:rPr>
        <w:t>If SRS resource set is allocated per CC, the resource number representing beam direction is the same across CCs for beam sweeping</w:t>
      </w:r>
    </w:p>
    <w:p w14:paraId="3DC0AFF5" w14:textId="3E8117F9" w:rsidR="00DE0EAB" w:rsidRDefault="00DE0EAB" w:rsidP="00984B38">
      <w:pPr>
        <w:jc w:val="both"/>
        <w:rPr>
          <w:sz w:val="22"/>
          <w:lang w:val="en-GB"/>
        </w:rPr>
      </w:pPr>
    </w:p>
    <w:p w14:paraId="2316E928" w14:textId="77777777" w:rsidR="00DE0EAB" w:rsidRDefault="00DE0EAB" w:rsidP="00984B38">
      <w:pPr>
        <w:jc w:val="both"/>
        <w:rPr>
          <w:sz w:val="22"/>
          <w:lang w:val="en-GB"/>
        </w:rPr>
      </w:pPr>
    </w:p>
    <w:p w14:paraId="409B167C" w14:textId="4CA8BE19" w:rsidR="00041932" w:rsidRDefault="00996397" w:rsidP="004B1777">
      <w:pPr>
        <w:jc w:val="both"/>
        <w:rPr>
          <w:sz w:val="22"/>
          <w:lang w:val="en-GB"/>
        </w:rPr>
      </w:pPr>
      <w:r>
        <w:rPr>
          <w:noProof/>
          <w:sz w:val="22"/>
          <w:lang w:val="en-GB"/>
        </w:rPr>
        <w:drawing>
          <wp:inline distT="0" distB="0" distL="0" distR="0" wp14:anchorId="3AB56FBA" wp14:editId="18EE9AA5">
            <wp:extent cx="3511296" cy="145389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11296" cy="1453896"/>
                    </a:xfrm>
                    <a:prstGeom prst="rect">
                      <a:avLst/>
                    </a:prstGeom>
                  </pic:spPr>
                </pic:pic>
              </a:graphicData>
            </a:graphic>
          </wp:inline>
        </w:drawing>
      </w:r>
    </w:p>
    <w:p w14:paraId="00919BB4" w14:textId="4249CE45" w:rsidR="00205449" w:rsidRDefault="0084073E" w:rsidP="004B1777">
      <w:pPr>
        <w:jc w:val="both"/>
        <w:rPr>
          <w:sz w:val="22"/>
          <w:lang w:val="en-GB"/>
        </w:rPr>
      </w:pPr>
      <w:r>
        <w:rPr>
          <w:sz w:val="22"/>
          <w:lang w:val="en-GB"/>
        </w:rPr>
        <w:t xml:space="preserve">                  Fig. </w:t>
      </w:r>
      <w:r w:rsidR="007911CF">
        <w:rPr>
          <w:sz w:val="22"/>
          <w:lang w:val="en-GB"/>
        </w:rPr>
        <w:t>2</w:t>
      </w:r>
      <w:r>
        <w:rPr>
          <w:sz w:val="22"/>
          <w:lang w:val="en-GB"/>
        </w:rPr>
        <w:t>-1,</w:t>
      </w:r>
    </w:p>
    <w:p w14:paraId="72BEC6DF" w14:textId="77777777" w:rsidR="00205449" w:rsidRDefault="00205449" w:rsidP="004B1777">
      <w:pPr>
        <w:jc w:val="both"/>
        <w:rPr>
          <w:sz w:val="22"/>
          <w:lang w:val="en-GB"/>
        </w:rPr>
      </w:pPr>
    </w:p>
    <w:p w14:paraId="78F705EC" w14:textId="727ABB8B" w:rsidR="00996397" w:rsidRDefault="00205449" w:rsidP="004B1777">
      <w:pPr>
        <w:jc w:val="both"/>
        <w:rPr>
          <w:sz w:val="22"/>
          <w:lang w:val="en-GB"/>
        </w:rPr>
      </w:pPr>
      <w:r>
        <w:rPr>
          <w:noProof/>
          <w:sz w:val="22"/>
          <w:lang w:val="en-GB"/>
        </w:rPr>
        <w:drawing>
          <wp:inline distT="0" distB="0" distL="0" distR="0" wp14:anchorId="6979AFC4" wp14:editId="14AF71DA">
            <wp:extent cx="3730752" cy="1545336"/>
            <wp:effectExtent l="0" t="0" r="317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30752" cy="1545336"/>
                    </a:xfrm>
                    <a:prstGeom prst="rect">
                      <a:avLst/>
                    </a:prstGeom>
                  </pic:spPr>
                </pic:pic>
              </a:graphicData>
            </a:graphic>
          </wp:inline>
        </w:drawing>
      </w:r>
    </w:p>
    <w:p w14:paraId="3E4E3243" w14:textId="7EBFEE5E" w:rsidR="00996397" w:rsidRDefault="0084073E" w:rsidP="004B1777">
      <w:pPr>
        <w:jc w:val="both"/>
        <w:rPr>
          <w:sz w:val="22"/>
          <w:lang w:val="en-GB"/>
        </w:rPr>
      </w:pPr>
      <w:r>
        <w:rPr>
          <w:sz w:val="22"/>
          <w:lang w:val="en-GB"/>
        </w:rPr>
        <w:t xml:space="preserve">                Fig. </w:t>
      </w:r>
      <w:r w:rsidR="007911CF">
        <w:rPr>
          <w:sz w:val="22"/>
          <w:lang w:val="en-GB"/>
        </w:rPr>
        <w:t>2</w:t>
      </w:r>
      <w:r>
        <w:rPr>
          <w:sz w:val="22"/>
          <w:lang w:val="en-GB"/>
        </w:rPr>
        <w:t>-2,</w:t>
      </w:r>
    </w:p>
    <w:p w14:paraId="4A7DC40D" w14:textId="7601A33D" w:rsidR="00996397" w:rsidRDefault="00996397" w:rsidP="004B1777">
      <w:pPr>
        <w:jc w:val="both"/>
        <w:rPr>
          <w:sz w:val="22"/>
          <w:lang w:val="en-GB"/>
        </w:rPr>
      </w:pPr>
    </w:p>
    <w:p w14:paraId="37E04AA7" w14:textId="77777777" w:rsidR="0084073E" w:rsidRDefault="0084073E" w:rsidP="004B1777">
      <w:pPr>
        <w:jc w:val="both"/>
        <w:rPr>
          <w:sz w:val="22"/>
          <w:lang w:val="en-GB"/>
        </w:rPr>
      </w:pPr>
    </w:p>
    <w:p w14:paraId="42073C9D" w14:textId="60F66053" w:rsidR="00041932" w:rsidRDefault="00041932" w:rsidP="004B1777">
      <w:pPr>
        <w:jc w:val="both"/>
        <w:rPr>
          <w:sz w:val="22"/>
          <w:lang w:val="en-GB"/>
        </w:rPr>
      </w:pPr>
      <w:r w:rsidRPr="00391A92">
        <w:rPr>
          <w:b/>
          <w:bCs/>
          <w:sz w:val="22"/>
          <w:lang w:val="en-GB"/>
        </w:rPr>
        <w:t xml:space="preserve">Proposal </w:t>
      </w:r>
      <w:r w:rsidR="007911CF">
        <w:rPr>
          <w:b/>
          <w:bCs/>
          <w:sz w:val="22"/>
          <w:lang w:val="en-GB"/>
        </w:rPr>
        <w:t>2</w:t>
      </w:r>
      <w:r w:rsidRPr="00391A92">
        <w:rPr>
          <w:b/>
          <w:bCs/>
          <w:sz w:val="22"/>
          <w:lang w:val="en-GB"/>
        </w:rPr>
        <w:t>-1</w:t>
      </w:r>
      <w:r>
        <w:rPr>
          <w:sz w:val="22"/>
          <w:lang w:val="en-GB"/>
        </w:rPr>
        <w:t>: SRS aggregation applies for NUL</w:t>
      </w:r>
      <w:r w:rsidR="00F21888">
        <w:rPr>
          <w:sz w:val="22"/>
          <w:lang w:val="en-GB"/>
        </w:rPr>
        <w:t xml:space="preserve"> band</w:t>
      </w:r>
    </w:p>
    <w:p w14:paraId="447CB447" w14:textId="004A8DF8" w:rsidR="0084073E" w:rsidRDefault="0084073E" w:rsidP="004B1777">
      <w:pPr>
        <w:jc w:val="both"/>
        <w:rPr>
          <w:sz w:val="22"/>
          <w:lang w:val="en-GB"/>
        </w:rPr>
      </w:pPr>
    </w:p>
    <w:p w14:paraId="473521E2" w14:textId="5F71EE6E" w:rsidR="0084073E" w:rsidRDefault="0084073E" w:rsidP="004B1777">
      <w:pPr>
        <w:jc w:val="both"/>
        <w:rPr>
          <w:sz w:val="22"/>
          <w:lang w:val="en-GB"/>
        </w:rPr>
      </w:pPr>
      <w:r w:rsidRPr="00391A92">
        <w:rPr>
          <w:b/>
          <w:bCs/>
          <w:sz w:val="22"/>
          <w:lang w:val="en-GB"/>
        </w:rPr>
        <w:t xml:space="preserve">Proposal </w:t>
      </w:r>
      <w:r w:rsidR="007911CF">
        <w:rPr>
          <w:b/>
          <w:bCs/>
          <w:sz w:val="22"/>
          <w:lang w:val="en-GB"/>
        </w:rPr>
        <w:t>2</w:t>
      </w:r>
      <w:r w:rsidRPr="00391A92">
        <w:rPr>
          <w:b/>
          <w:bCs/>
          <w:sz w:val="22"/>
          <w:lang w:val="en-GB"/>
        </w:rPr>
        <w:t>-2</w:t>
      </w:r>
      <w:r>
        <w:rPr>
          <w:sz w:val="22"/>
          <w:lang w:val="en-GB"/>
        </w:rPr>
        <w:t xml:space="preserve">: Subject to UE capability, </w:t>
      </w:r>
      <w:r w:rsidR="00DE0EAB">
        <w:rPr>
          <w:sz w:val="22"/>
          <w:lang w:val="en-GB"/>
        </w:rPr>
        <w:t>s</w:t>
      </w:r>
      <w:r>
        <w:rPr>
          <w:sz w:val="22"/>
          <w:lang w:val="en-GB"/>
        </w:rPr>
        <w:t xml:space="preserve">upport SRS transmission outside BWP and across carriers </w:t>
      </w:r>
    </w:p>
    <w:p w14:paraId="0F45B557" w14:textId="7F92510C" w:rsidR="0084073E" w:rsidRDefault="0084073E" w:rsidP="004B1777">
      <w:pPr>
        <w:jc w:val="both"/>
        <w:rPr>
          <w:sz w:val="22"/>
          <w:lang w:val="en-GB"/>
        </w:rPr>
      </w:pPr>
    </w:p>
    <w:p w14:paraId="2B3C28DB" w14:textId="6EDD662B" w:rsidR="00AB0B6D" w:rsidRDefault="00AB0B6D" w:rsidP="004B1777">
      <w:pPr>
        <w:jc w:val="both"/>
        <w:rPr>
          <w:sz w:val="22"/>
          <w:lang w:val="en-GB"/>
        </w:rPr>
      </w:pPr>
      <w:r w:rsidRPr="00391A92">
        <w:rPr>
          <w:b/>
          <w:bCs/>
          <w:sz w:val="22"/>
          <w:lang w:val="en-GB"/>
        </w:rPr>
        <w:t xml:space="preserve">Proposal </w:t>
      </w:r>
      <w:r w:rsidR="007911CF">
        <w:rPr>
          <w:b/>
          <w:bCs/>
          <w:sz w:val="22"/>
          <w:lang w:val="en-GB"/>
        </w:rPr>
        <w:t>2</w:t>
      </w:r>
      <w:r w:rsidRPr="00391A92">
        <w:rPr>
          <w:b/>
          <w:bCs/>
          <w:sz w:val="22"/>
          <w:lang w:val="en-GB"/>
        </w:rPr>
        <w:t>-3</w:t>
      </w:r>
      <w:r>
        <w:rPr>
          <w:sz w:val="22"/>
          <w:lang w:val="en-GB"/>
        </w:rPr>
        <w:t>: The transmission power per subcarrier is the same for SRS across CCs</w:t>
      </w:r>
    </w:p>
    <w:p w14:paraId="79601F75" w14:textId="77A3C2A3" w:rsidR="00AB0B6D" w:rsidRDefault="00AB0B6D" w:rsidP="004B1777">
      <w:pPr>
        <w:jc w:val="both"/>
        <w:rPr>
          <w:sz w:val="22"/>
          <w:lang w:val="en-GB"/>
        </w:rPr>
      </w:pPr>
    </w:p>
    <w:p w14:paraId="606EE039" w14:textId="6B5F9344" w:rsidR="00AB0B6D" w:rsidRDefault="00AB0B6D" w:rsidP="004B1777">
      <w:pPr>
        <w:jc w:val="both"/>
        <w:rPr>
          <w:sz w:val="22"/>
          <w:lang w:val="en-GB"/>
        </w:rPr>
      </w:pPr>
      <w:r w:rsidRPr="00391A92">
        <w:rPr>
          <w:b/>
          <w:bCs/>
          <w:sz w:val="22"/>
          <w:lang w:val="en-GB"/>
        </w:rPr>
        <w:t xml:space="preserve">Proposal </w:t>
      </w:r>
      <w:r w:rsidR="007911CF">
        <w:rPr>
          <w:b/>
          <w:bCs/>
          <w:sz w:val="22"/>
          <w:lang w:val="en-GB"/>
        </w:rPr>
        <w:t>2</w:t>
      </w:r>
      <w:r w:rsidRPr="00391A92">
        <w:rPr>
          <w:b/>
          <w:bCs/>
          <w:sz w:val="22"/>
          <w:lang w:val="en-GB"/>
        </w:rPr>
        <w:t>-4</w:t>
      </w:r>
      <w:r>
        <w:rPr>
          <w:sz w:val="22"/>
          <w:lang w:val="en-GB"/>
        </w:rPr>
        <w:t>: The transmission direction is the same for SRS across CCs</w:t>
      </w:r>
    </w:p>
    <w:p w14:paraId="7FD70D4B" w14:textId="7825F000" w:rsidR="00AB0B6D" w:rsidRDefault="00AB0B6D" w:rsidP="004B1777">
      <w:pPr>
        <w:jc w:val="both"/>
        <w:rPr>
          <w:sz w:val="22"/>
          <w:lang w:val="en-GB"/>
        </w:rPr>
      </w:pPr>
    </w:p>
    <w:p w14:paraId="627536A5" w14:textId="6B8D30C9" w:rsidR="00AB0B6D" w:rsidRDefault="00AB0B6D" w:rsidP="004B1777">
      <w:pPr>
        <w:jc w:val="both"/>
        <w:rPr>
          <w:sz w:val="22"/>
          <w:lang w:val="en-GB"/>
        </w:rPr>
      </w:pPr>
      <w:r w:rsidRPr="00391A92">
        <w:rPr>
          <w:b/>
          <w:bCs/>
          <w:sz w:val="22"/>
          <w:lang w:val="en-GB"/>
        </w:rPr>
        <w:t xml:space="preserve">Proposal </w:t>
      </w:r>
      <w:r w:rsidR="007911CF">
        <w:rPr>
          <w:b/>
          <w:bCs/>
          <w:sz w:val="22"/>
          <w:lang w:val="en-GB"/>
        </w:rPr>
        <w:t>2</w:t>
      </w:r>
      <w:r w:rsidRPr="00391A92">
        <w:rPr>
          <w:b/>
          <w:bCs/>
          <w:sz w:val="22"/>
          <w:lang w:val="en-GB"/>
        </w:rPr>
        <w:t>-5</w:t>
      </w:r>
      <w:r>
        <w:rPr>
          <w:sz w:val="22"/>
          <w:lang w:val="en-GB"/>
        </w:rPr>
        <w:t>: If SRS resource set is allocated per CC, the resource number representing beam direction is the same across CCs for beam sweeping</w:t>
      </w:r>
    </w:p>
    <w:p w14:paraId="34511597" w14:textId="25B61FE4" w:rsidR="00A43488" w:rsidRDefault="00A43488" w:rsidP="004B1777">
      <w:pPr>
        <w:jc w:val="both"/>
        <w:rPr>
          <w:sz w:val="22"/>
          <w:lang w:val="en-GB"/>
        </w:rPr>
      </w:pPr>
    </w:p>
    <w:p w14:paraId="18F5A97B" w14:textId="10BB54AA" w:rsidR="00AD3604" w:rsidRDefault="00A43488" w:rsidP="004B1777">
      <w:pPr>
        <w:jc w:val="both"/>
        <w:rPr>
          <w:sz w:val="22"/>
          <w:lang w:val="en-GB"/>
        </w:rPr>
      </w:pPr>
      <w:r w:rsidRPr="00A43488">
        <w:rPr>
          <w:b/>
          <w:bCs/>
          <w:sz w:val="22"/>
          <w:lang w:val="en-GB"/>
        </w:rPr>
        <w:t xml:space="preserve">Proposal </w:t>
      </w:r>
      <w:r w:rsidR="007911CF">
        <w:rPr>
          <w:b/>
          <w:bCs/>
          <w:sz w:val="22"/>
          <w:lang w:val="en-GB"/>
        </w:rPr>
        <w:t>2</w:t>
      </w:r>
      <w:r w:rsidRPr="00A43488">
        <w:rPr>
          <w:b/>
          <w:bCs/>
          <w:sz w:val="22"/>
          <w:lang w:val="en-GB"/>
        </w:rPr>
        <w:t>-6</w:t>
      </w:r>
      <w:r>
        <w:rPr>
          <w:sz w:val="22"/>
          <w:lang w:val="en-GB"/>
        </w:rPr>
        <w:t xml:space="preserve">: At least </w:t>
      </w:r>
      <w:r w:rsidR="00430F61">
        <w:rPr>
          <w:sz w:val="22"/>
          <w:lang w:val="en-GB"/>
        </w:rPr>
        <w:t>periodic</w:t>
      </w:r>
      <w:r>
        <w:rPr>
          <w:sz w:val="22"/>
          <w:lang w:val="en-GB"/>
        </w:rPr>
        <w:t xml:space="preserve"> and semi-persistent SRS transmission is supported for the aggregation use cas</w:t>
      </w:r>
      <w:r w:rsidR="00AD3604">
        <w:rPr>
          <w:rFonts w:hint="eastAsia"/>
          <w:sz w:val="22"/>
          <w:lang w:val="en-GB"/>
        </w:rPr>
        <w:t>e</w:t>
      </w:r>
    </w:p>
    <w:p w14:paraId="5DB59344" w14:textId="07EE4088" w:rsidR="0065716B" w:rsidRDefault="0065716B" w:rsidP="004B1777">
      <w:pPr>
        <w:jc w:val="both"/>
        <w:rPr>
          <w:sz w:val="22"/>
        </w:rPr>
      </w:pPr>
    </w:p>
    <w:p w14:paraId="5C198D64" w14:textId="77777777" w:rsidR="00A463E0" w:rsidRPr="00A46019" w:rsidRDefault="00A463E0" w:rsidP="00A463E0">
      <w:pPr>
        <w:jc w:val="both"/>
        <w:rPr>
          <w:sz w:val="22"/>
        </w:rPr>
      </w:pPr>
    </w:p>
    <w:p w14:paraId="5B520E1E" w14:textId="77777777" w:rsidR="00A463E0" w:rsidRDefault="00A463E0" w:rsidP="00A463E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lastRenderedPageBreak/>
        <w:t>DL-PRS aggregation across FPLs</w:t>
      </w:r>
    </w:p>
    <w:p w14:paraId="75F4781A" w14:textId="562F920C" w:rsidR="00A463E0" w:rsidRDefault="00A463E0" w:rsidP="001934F0">
      <w:pPr>
        <w:jc w:val="both"/>
        <w:rPr>
          <w:sz w:val="22"/>
        </w:rPr>
      </w:pPr>
      <w:r w:rsidRPr="009570E8">
        <w:rPr>
          <w:sz w:val="22"/>
        </w:rPr>
        <w:t>The</w:t>
      </w:r>
      <w:r>
        <w:rPr>
          <w:sz w:val="22"/>
        </w:rPr>
        <w:t xml:space="preserve"> </w:t>
      </w:r>
      <w:r w:rsidR="0075648B">
        <w:rPr>
          <w:sz w:val="22"/>
        </w:rPr>
        <w:t xml:space="preserve">downlink has similar issue as the above-mentioned uplink that, if DL-PRS within DL BWP is processed, it is equivalent to have </w:t>
      </w:r>
      <w:r w:rsidR="00430F61">
        <w:rPr>
          <w:sz w:val="22"/>
        </w:rPr>
        <w:t>an</w:t>
      </w:r>
      <w:r w:rsidR="0075648B">
        <w:rPr>
          <w:sz w:val="22"/>
        </w:rPr>
        <w:t xml:space="preserve"> expanded guard band</w:t>
      </w:r>
      <w:r>
        <w:rPr>
          <w:sz w:val="22"/>
        </w:rPr>
        <w:t>.</w:t>
      </w:r>
      <w:r w:rsidR="001934F0">
        <w:rPr>
          <w:sz w:val="22"/>
        </w:rPr>
        <w:t xml:space="preserve"> Then we prefer the downlink measurement within gaps for the PRS aggregation case. The downlink measurement by PPW is not preferred, unless the measurement outside DL active BWP could be supported. To do so, some more mechanisms need to be introduced.</w:t>
      </w:r>
    </w:p>
    <w:p w14:paraId="2C7DCF24" w14:textId="6B5559B7" w:rsidR="001934F0" w:rsidRDefault="001934F0" w:rsidP="001934F0">
      <w:pPr>
        <w:jc w:val="both"/>
        <w:rPr>
          <w:sz w:val="22"/>
        </w:rPr>
      </w:pPr>
    </w:p>
    <w:p w14:paraId="445FAA61" w14:textId="761CB3EF" w:rsidR="00EC0470" w:rsidRDefault="00EC0470" w:rsidP="001934F0">
      <w:pPr>
        <w:jc w:val="both"/>
        <w:rPr>
          <w:sz w:val="22"/>
        </w:rPr>
      </w:pPr>
      <w:r>
        <w:rPr>
          <w:sz w:val="22"/>
        </w:rPr>
        <w:t>Note that, in some networks, the BWP switch between 100MHz and 20MHz has been implemented.</w:t>
      </w:r>
      <w:r w:rsidR="00E771EF">
        <w:rPr>
          <w:sz w:val="22"/>
        </w:rPr>
        <w:t xml:space="preserve"> </w:t>
      </w:r>
      <w:r>
        <w:rPr>
          <w:sz w:val="22"/>
        </w:rPr>
        <w:t>The restriction on measurements within BWP may not be beneficial</w:t>
      </w:r>
      <w:r w:rsidR="00E771EF">
        <w:rPr>
          <w:sz w:val="22"/>
        </w:rPr>
        <w:t>.</w:t>
      </w:r>
    </w:p>
    <w:p w14:paraId="5A2E625E" w14:textId="40809C7F" w:rsidR="00A463E0" w:rsidRDefault="00A463E0" w:rsidP="001934F0">
      <w:pPr>
        <w:jc w:val="both"/>
        <w:rPr>
          <w:sz w:val="22"/>
        </w:rPr>
      </w:pPr>
    </w:p>
    <w:p w14:paraId="210080A4" w14:textId="656C23BF" w:rsidR="00A463E0" w:rsidRDefault="001934F0" w:rsidP="004B1777">
      <w:pPr>
        <w:jc w:val="both"/>
        <w:rPr>
          <w:sz w:val="22"/>
        </w:rPr>
      </w:pPr>
      <w:r w:rsidRPr="001934F0">
        <w:rPr>
          <w:b/>
          <w:bCs/>
          <w:sz w:val="22"/>
        </w:rPr>
        <w:t>Proposal 3-1</w:t>
      </w:r>
      <w:r>
        <w:rPr>
          <w:sz w:val="22"/>
        </w:rPr>
        <w:t>: Prioritize the downlink measurements within gaps for PRS aggregation across FPLs</w:t>
      </w:r>
    </w:p>
    <w:p w14:paraId="26C78CF2" w14:textId="7335F6E6" w:rsidR="008315FB" w:rsidRDefault="008315FB" w:rsidP="004B1777">
      <w:pPr>
        <w:jc w:val="both"/>
        <w:rPr>
          <w:sz w:val="22"/>
        </w:rPr>
      </w:pPr>
    </w:p>
    <w:p w14:paraId="4AA5F7A0" w14:textId="77777777" w:rsidR="00A463E0" w:rsidRPr="00A46019" w:rsidRDefault="00A463E0" w:rsidP="004B1777">
      <w:pPr>
        <w:jc w:val="both"/>
        <w:rPr>
          <w:sz w:val="22"/>
        </w:rPr>
      </w:pPr>
    </w:p>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14:paraId="78F714C9" w14:textId="7B482DFF" w:rsidR="000C4EDE" w:rsidRDefault="000C4EDE" w:rsidP="000C4EDE">
      <w:pPr>
        <w:jc w:val="both"/>
        <w:rPr>
          <w:rFonts w:cstheme="minorHAnsi"/>
          <w:b/>
          <w:color w:val="000000" w:themeColor="text1"/>
          <w:kern w:val="24"/>
          <w:sz w:val="22"/>
        </w:rPr>
      </w:pPr>
    </w:p>
    <w:p w14:paraId="7690FE75" w14:textId="4224713A" w:rsidR="007911CF" w:rsidRPr="007911CF" w:rsidRDefault="007911CF" w:rsidP="007911CF">
      <w:pPr>
        <w:jc w:val="both"/>
        <w:rPr>
          <w:sz w:val="20"/>
          <w:szCs w:val="20"/>
          <w:lang w:val="en-GB"/>
        </w:rPr>
      </w:pPr>
      <w:r w:rsidRPr="007911CF">
        <w:rPr>
          <w:b/>
          <w:bCs/>
          <w:sz w:val="20"/>
          <w:szCs w:val="20"/>
          <w:lang w:val="en-GB"/>
        </w:rPr>
        <w:t>Proposal 2-1</w:t>
      </w:r>
      <w:r w:rsidRPr="007911CF">
        <w:rPr>
          <w:sz w:val="20"/>
          <w:szCs w:val="20"/>
          <w:lang w:val="en-GB"/>
        </w:rPr>
        <w:t>: SRS aggregation applies for NUL band</w:t>
      </w:r>
    </w:p>
    <w:p w14:paraId="337EBE4C" w14:textId="77777777" w:rsidR="007911CF" w:rsidRPr="007911CF" w:rsidRDefault="007911CF" w:rsidP="007911CF">
      <w:pPr>
        <w:jc w:val="both"/>
        <w:rPr>
          <w:sz w:val="20"/>
          <w:szCs w:val="20"/>
          <w:lang w:val="en-GB"/>
        </w:rPr>
      </w:pPr>
    </w:p>
    <w:p w14:paraId="205743C0" w14:textId="4A7CEC53" w:rsidR="007911CF" w:rsidRPr="007911CF" w:rsidRDefault="007911CF" w:rsidP="007911CF">
      <w:pPr>
        <w:jc w:val="both"/>
        <w:rPr>
          <w:sz w:val="20"/>
          <w:szCs w:val="20"/>
          <w:lang w:val="en-GB"/>
        </w:rPr>
      </w:pPr>
      <w:r w:rsidRPr="007911CF">
        <w:rPr>
          <w:b/>
          <w:bCs/>
          <w:sz w:val="20"/>
          <w:szCs w:val="20"/>
          <w:lang w:val="en-GB"/>
        </w:rPr>
        <w:t>Proposal 2-2</w:t>
      </w:r>
      <w:r w:rsidRPr="007911CF">
        <w:rPr>
          <w:sz w:val="20"/>
          <w:szCs w:val="20"/>
          <w:lang w:val="en-GB"/>
        </w:rPr>
        <w:t xml:space="preserve">: Subject to UE capability, support SRS transmission outside BWP and across carriers </w:t>
      </w:r>
    </w:p>
    <w:p w14:paraId="4ECEE3EE" w14:textId="77777777" w:rsidR="007911CF" w:rsidRPr="007911CF" w:rsidRDefault="007911CF" w:rsidP="007911CF">
      <w:pPr>
        <w:jc w:val="both"/>
        <w:rPr>
          <w:sz w:val="20"/>
          <w:szCs w:val="20"/>
          <w:lang w:val="en-GB"/>
        </w:rPr>
      </w:pPr>
    </w:p>
    <w:p w14:paraId="720B10BA" w14:textId="7DB7DC62" w:rsidR="007911CF" w:rsidRPr="007911CF" w:rsidRDefault="007911CF" w:rsidP="007911CF">
      <w:pPr>
        <w:jc w:val="both"/>
        <w:rPr>
          <w:sz w:val="20"/>
          <w:szCs w:val="20"/>
          <w:lang w:val="en-GB"/>
        </w:rPr>
      </w:pPr>
      <w:r w:rsidRPr="007911CF">
        <w:rPr>
          <w:b/>
          <w:bCs/>
          <w:sz w:val="20"/>
          <w:szCs w:val="20"/>
          <w:lang w:val="en-GB"/>
        </w:rPr>
        <w:t>Proposal 2-3</w:t>
      </w:r>
      <w:r w:rsidRPr="007911CF">
        <w:rPr>
          <w:sz w:val="20"/>
          <w:szCs w:val="20"/>
          <w:lang w:val="en-GB"/>
        </w:rPr>
        <w:t>: The transmission power per subcarrier is the same for SRS across CCs</w:t>
      </w:r>
    </w:p>
    <w:p w14:paraId="2D8DA5A9" w14:textId="77777777" w:rsidR="007911CF" w:rsidRPr="007911CF" w:rsidRDefault="007911CF" w:rsidP="007911CF">
      <w:pPr>
        <w:jc w:val="both"/>
        <w:rPr>
          <w:sz w:val="20"/>
          <w:szCs w:val="20"/>
          <w:lang w:val="en-GB"/>
        </w:rPr>
      </w:pPr>
    </w:p>
    <w:p w14:paraId="2E190210" w14:textId="2601EAC3" w:rsidR="007911CF" w:rsidRPr="007911CF" w:rsidRDefault="007911CF" w:rsidP="007911CF">
      <w:pPr>
        <w:jc w:val="both"/>
        <w:rPr>
          <w:sz w:val="20"/>
          <w:szCs w:val="20"/>
          <w:lang w:val="en-GB"/>
        </w:rPr>
      </w:pPr>
      <w:r w:rsidRPr="007911CF">
        <w:rPr>
          <w:b/>
          <w:bCs/>
          <w:sz w:val="20"/>
          <w:szCs w:val="20"/>
          <w:lang w:val="en-GB"/>
        </w:rPr>
        <w:t>Proposal 2-4</w:t>
      </w:r>
      <w:r w:rsidRPr="007911CF">
        <w:rPr>
          <w:sz w:val="20"/>
          <w:szCs w:val="20"/>
          <w:lang w:val="en-GB"/>
        </w:rPr>
        <w:t>: The transmission direction is the same for SRS across CCs</w:t>
      </w:r>
    </w:p>
    <w:p w14:paraId="1070E619" w14:textId="77777777" w:rsidR="007911CF" w:rsidRPr="007911CF" w:rsidRDefault="007911CF" w:rsidP="007911CF">
      <w:pPr>
        <w:jc w:val="both"/>
        <w:rPr>
          <w:sz w:val="20"/>
          <w:szCs w:val="20"/>
          <w:lang w:val="en-GB"/>
        </w:rPr>
      </w:pPr>
    </w:p>
    <w:p w14:paraId="56380F18" w14:textId="0B89F4FD" w:rsidR="007911CF" w:rsidRPr="007911CF" w:rsidRDefault="007911CF" w:rsidP="007911CF">
      <w:pPr>
        <w:jc w:val="both"/>
        <w:rPr>
          <w:sz w:val="20"/>
          <w:szCs w:val="20"/>
          <w:lang w:val="en-GB"/>
        </w:rPr>
      </w:pPr>
      <w:r w:rsidRPr="007911CF">
        <w:rPr>
          <w:b/>
          <w:bCs/>
          <w:sz w:val="20"/>
          <w:szCs w:val="20"/>
          <w:lang w:val="en-GB"/>
        </w:rPr>
        <w:t>Proposal 2-5</w:t>
      </w:r>
      <w:r w:rsidRPr="007911CF">
        <w:rPr>
          <w:sz w:val="20"/>
          <w:szCs w:val="20"/>
          <w:lang w:val="en-GB"/>
        </w:rPr>
        <w:t>: If SRS resource set is allocated per CC, the resource number representing beam direction is the same across CCs for beam sweeping</w:t>
      </w:r>
    </w:p>
    <w:p w14:paraId="3FA7E688" w14:textId="77777777" w:rsidR="007911CF" w:rsidRPr="007911CF" w:rsidRDefault="007911CF" w:rsidP="007911CF">
      <w:pPr>
        <w:jc w:val="both"/>
        <w:rPr>
          <w:sz w:val="20"/>
          <w:szCs w:val="20"/>
          <w:lang w:val="en-GB"/>
        </w:rPr>
      </w:pPr>
    </w:p>
    <w:p w14:paraId="2743CEF1" w14:textId="56C66853" w:rsidR="007911CF" w:rsidRPr="007911CF" w:rsidRDefault="007911CF" w:rsidP="007911CF">
      <w:pPr>
        <w:jc w:val="both"/>
        <w:rPr>
          <w:sz w:val="20"/>
          <w:szCs w:val="20"/>
        </w:rPr>
      </w:pPr>
      <w:r w:rsidRPr="007911CF">
        <w:rPr>
          <w:b/>
          <w:bCs/>
          <w:sz w:val="20"/>
          <w:szCs w:val="20"/>
          <w:lang w:val="en-GB"/>
        </w:rPr>
        <w:t>Proposal 2-6</w:t>
      </w:r>
      <w:r w:rsidRPr="007911CF">
        <w:rPr>
          <w:sz w:val="20"/>
          <w:szCs w:val="20"/>
          <w:lang w:val="en-GB"/>
        </w:rPr>
        <w:t xml:space="preserve">: At least </w:t>
      </w:r>
      <w:r w:rsidR="00430F61" w:rsidRPr="007911CF">
        <w:rPr>
          <w:sz w:val="20"/>
          <w:szCs w:val="20"/>
          <w:lang w:val="en-GB"/>
        </w:rPr>
        <w:t>periodic</w:t>
      </w:r>
      <w:r w:rsidRPr="007911CF">
        <w:rPr>
          <w:sz w:val="20"/>
          <w:szCs w:val="20"/>
          <w:lang w:val="en-GB"/>
        </w:rPr>
        <w:t xml:space="preserve"> and semi-persistent SRS transmission is supported for the aggregation use case</w:t>
      </w:r>
    </w:p>
    <w:p w14:paraId="1B197EC2" w14:textId="3C209A57" w:rsidR="007911CF" w:rsidRPr="007911CF" w:rsidRDefault="007911CF" w:rsidP="000C4EDE">
      <w:pPr>
        <w:jc w:val="both"/>
        <w:rPr>
          <w:rFonts w:cstheme="minorHAnsi"/>
          <w:b/>
          <w:color w:val="000000" w:themeColor="text1"/>
          <w:kern w:val="24"/>
          <w:sz w:val="20"/>
          <w:szCs w:val="20"/>
        </w:rPr>
      </w:pPr>
    </w:p>
    <w:p w14:paraId="4DA2E101" w14:textId="77777777" w:rsidR="007911CF" w:rsidRPr="007911CF" w:rsidRDefault="007911CF" w:rsidP="007911CF">
      <w:pPr>
        <w:jc w:val="both"/>
        <w:rPr>
          <w:sz w:val="20"/>
          <w:szCs w:val="20"/>
        </w:rPr>
      </w:pPr>
      <w:r w:rsidRPr="007911CF">
        <w:rPr>
          <w:b/>
          <w:bCs/>
          <w:sz w:val="20"/>
          <w:szCs w:val="20"/>
        </w:rPr>
        <w:t>Proposal 3-1</w:t>
      </w:r>
      <w:r w:rsidRPr="007911CF">
        <w:rPr>
          <w:sz w:val="20"/>
          <w:szCs w:val="20"/>
        </w:rPr>
        <w:t>: Prioritize the downlink measurements within gaps for PRS aggregation across FPLs</w:t>
      </w:r>
    </w:p>
    <w:p w14:paraId="49CDC87B" w14:textId="77777777" w:rsidR="007911CF" w:rsidRPr="007911CF" w:rsidRDefault="007911CF" w:rsidP="000C4EDE">
      <w:pPr>
        <w:jc w:val="both"/>
        <w:rPr>
          <w:rFonts w:cstheme="minorHAnsi"/>
          <w:b/>
          <w:color w:val="000000" w:themeColor="text1"/>
          <w:kern w:val="24"/>
          <w:sz w:val="20"/>
          <w:szCs w:val="20"/>
        </w:rPr>
      </w:pPr>
    </w:p>
    <w:p w14:paraId="1E905C01" w14:textId="77777777" w:rsidR="00244855" w:rsidRPr="006A30B9" w:rsidRDefault="00244855" w:rsidP="00244855">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7A01F" w14:textId="77777777" w:rsidR="007049B7" w:rsidRDefault="007049B7">
      <w:r>
        <w:separator/>
      </w:r>
    </w:p>
  </w:endnote>
  <w:endnote w:type="continuationSeparator" w:id="0">
    <w:p w14:paraId="5B644C6C" w14:textId="77777777" w:rsidR="007049B7" w:rsidRDefault="0070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26F53" w14:textId="77777777" w:rsidR="007049B7" w:rsidRDefault="007049B7">
      <w:r>
        <w:separator/>
      </w:r>
    </w:p>
  </w:footnote>
  <w:footnote w:type="continuationSeparator" w:id="0">
    <w:p w14:paraId="3BA8DEB4" w14:textId="77777777" w:rsidR="007049B7" w:rsidRDefault="0070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8"/>
  </w:num>
  <w:num w:numId="4">
    <w:abstractNumId w:val="1"/>
  </w:num>
  <w:num w:numId="5">
    <w:abstractNumId w:val="14"/>
  </w:num>
  <w:num w:numId="6">
    <w:abstractNumId w:val="20"/>
  </w:num>
  <w:num w:numId="7">
    <w:abstractNumId w:val="2"/>
  </w:num>
  <w:num w:numId="8">
    <w:abstractNumId w:val="12"/>
  </w:num>
  <w:num w:numId="9">
    <w:abstractNumId w:val="18"/>
  </w:num>
  <w:num w:numId="10">
    <w:abstractNumId w:val="17"/>
  </w:num>
  <w:num w:numId="11">
    <w:abstractNumId w:val="7"/>
  </w:num>
  <w:num w:numId="12">
    <w:abstractNumId w:val="7"/>
  </w:num>
  <w:num w:numId="13">
    <w:abstractNumId w:val="5"/>
  </w:num>
  <w:num w:numId="14">
    <w:abstractNumId w:val="19"/>
  </w:num>
  <w:num w:numId="15">
    <w:abstractNumId w:val="10"/>
  </w:num>
  <w:num w:numId="16">
    <w:abstractNumId w:val="4"/>
  </w:num>
  <w:num w:numId="17">
    <w:abstractNumId w:val="0"/>
  </w:num>
  <w:num w:numId="18">
    <w:abstractNumId w:val="6"/>
  </w:num>
  <w:num w:numId="19">
    <w:abstractNumId w:val="3"/>
  </w:num>
  <w:num w:numId="20">
    <w:abstractNumId w:val="11"/>
  </w:num>
  <w:num w:numId="21">
    <w:abstractNumId w:val="13"/>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0"/>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89"/>
    <w:rsid w:val="003922B1"/>
    <w:rsid w:val="0039232F"/>
    <w:rsid w:val="003923B6"/>
    <w:rsid w:val="00392972"/>
    <w:rsid w:val="00392D42"/>
    <w:rsid w:val="00393337"/>
    <w:rsid w:val="003934B3"/>
    <w:rsid w:val="003938B0"/>
    <w:rsid w:val="003939D5"/>
    <w:rsid w:val="00393DD1"/>
    <w:rsid w:val="00394064"/>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98C"/>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35A"/>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0F61"/>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B67"/>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9B7"/>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54C"/>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48B"/>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1CF"/>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5FB"/>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3E0"/>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604"/>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6A7"/>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1EF"/>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470"/>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6A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376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6A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2023-02-17T21:26:00Z</dcterms:created>
  <dcterms:modified xsi:type="dcterms:W3CDTF">2023-02-17T21:26:00Z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